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kern w:val="0"/>
          <w:sz w:val="32"/>
          <w:szCs w:val="32"/>
        </w:rPr>
        <w:t>附件一</w:t>
      </w:r>
    </w:p>
    <w:p>
      <w:pPr>
        <w:widowControl/>
        <w:spacing w:line="560" w:lineRule="exact"/>
        <w:jc w:val="center"/>
        <w:rPr>
          <w:rFonts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cs="仿宋"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color w:val="auto"/>
          <w:sz w:val="44"/>
          <w:szCs w:val="44"/>
        </w:rPr>
        <w:t>中山大学南方学院国（境）外合作项目</w:t>
      </w:r>
    </w:p>
    <w:p>
      <w:pPr>
        <w:jc w:val="center"/>
        <w:rPr>
          <w:rFonts w:cs="仿宋"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color w:val="auto"/>
          <w:sz w:val="44"/>
          <w:szCs w:val="44"/>
        </w:rPr>
        <w:t>申报与管理暂行规定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560" w:lineRule="exact"/>
        <w:ind w:firstLine="315" w:firstLineChars="98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为促进学校与国（境）外大学的合作与交流，规范此项工作的组织管理，根据《中山大学南方学院国际合作与交流工作管理办法（试行）》，结合我校实际，特制定本规定。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15" w:firstLineChars="98"/>
        <w:jc w:val="center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b/>
          <w:color w:val="auto"/>
          <w:sz w:val="32"/>
          <w:szCs w:val="32"/>
        </w:rPr>
        <w:t>第一章 项目申报和审批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第一条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 xml:space="preserve"> 学校统一管理国（境）外合作与交流项目（以下简称“项目”）。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项目启动前应报学校审批，申请主体原则上应为各项目承办单位。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校内多个单位申请同一类项目时，学校将对其申请报告中所提及的国内外合作机构的资质、学生反响、社会声誉及方案的完整性进行审核，并结合申请单位的专业情况、既往项目的执行情况等综合考察，择优选择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第二条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 xml:space="preserve"> 各单位申报国（境）外合作项目，适用《中山大学南方学院国际合作与交流事务管理工作指引》，须统一提交《国际合作与交流项目审批表》，并按表中的要求，将项目方案书、拟签署的细则协议等作为附件，一并提交审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项目方案书的内容包括但不限于:合作双方的名称及职能；合作对象的资信情况；合作办学专业；合作办学目的；合作方式；修业年限及学位授予办法；合作项目的市场情况(包括同类型项目的市场情况）; 合作效益(包括学科建设、师资培养及收益等情况)；项目经费的预算、收益和分配草案;合作双方权利义务：项目的前景等。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 xml:space="preserve">第三条  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各单位与国（境）外高校确定初步合作意向时，可先拟订框架协议或谅解备忘录，采用“公文呈批”程序，由承办单位报国际合作与交流部审核和分管校领导审批。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 xml:space="preserve">第四条  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各单位在项目实质执行前，须拟订项目细则协议，填写《国际合作与交流项目审批表》，采用“项目审批”</w:t>
      </w:r>
      <w:bookmarkStart w:id="0" w:name="_GoBack"/>
      <w:bookmarkEnd w:id="0"/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程序。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不涉及学分认定的项目，由国际合作与交流部审核，并报分管校领导审批、校长审定。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涉及学分认定的项目，项目承办单位须在提交《国际合作与交流项目审批表》时，将该项目的《学分认定细则》作为附件材料，报国际合作与交流部审核、教务与科研部会签意见后，报分管校领导审批、校长审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涉及资金往来的项目，项目承办单位须在提交《国际合作与交流项目审批表》时，就项目经费筹集、收费标准、各方办学投入、分成比例、资金缴纳期限等情况报国际合作与交流部审核、财务部会签意见后，报分管校领导审批、校长审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15" w:firstLineChars="98"/>
        <w:jc w:val="center"/>
        <w:rPr>
          <w:rFonts w:ascii="黑体" w:hAnsi="黑体" w:eastAsia="黑体" w:cs="仿宋"/>
          <w:b/>
          <w:color w:val="auto"/>
          <w:sz w:val="32"/>
          <w:szCs w:val="32"/>
        </w:rPr>
      </w:pPr>
      <w:r>
        <w:rPr>
          <w:rFonts w:hint="eastAsia" w:ascii="黑体" w:hAnsi="黑体" w:eastAsia="黑体" w:cs="仿宋"/>
          <w:b/>
          <w:color w:val="auto"/>
          <w:sz w:val="32"/>
          <w:szCs w:val="32"/>
        </w:rPr>
        <w:t>第二章 项目运行与管理</w:t>
      </w:r>
    </w:p>
    <w:p>
      <w:pPr>
        <w:adjustRightInd w:val="0"/>
        <w:snapToGrid w:val="0"/>
        <w:spacing w:line="560" w:lineRule="exact"/>
        <w:ind w:firstLine="636" w:firstLineChars="198"/>
        <w:jc w:val="left"/>
        <w:rPr>
          <w:rFonts w:hint="eastAsia" w:ascii="仿宋_GB2312" w:hAnsi="仿宋" w:eastAsia="仿宋_GB2312" w:cs="仿宋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 xml:space="preserve">第五条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各单位开展项目应签署合作协议。协议经合作双方签署完成后，承办单位应在一周内将协议原件送交学院办公室集中归档，并报国际合作与交流部备案。未签署协议，不得擅自开展宣讲会、张贴海报、发布招生消息等宣传行为。一经发现，国际合作与交流部有权责令停办，并报请学校追究相关人员的责任。</w:t>
      </w:r>
    </w:p>
    <w:p>
      <w:pPr>
        <w:adjustRightInd w:val="0"/>
        <w:snapToGrid w:val="0"/>
        <w:spacing w:line="560" w:lineRule="exact"/>
        <w:ind w:firstLine="636" w:firstLineChars="198"/>
        <w:jc w:val="left"/>
        <w:rPr>
          <w:rFonts w:hint="eastAsia" w:ascii="仿宋_GB2312" w:hAnsi="仿宋" w:eastAsia="仿宋_GB2312" w:cs="仿宋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 xml:space="preserve">第六条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项目承办单位应协同有关职能部门及国（境）外合作院校统筹安排项目所涉及的教学、实习活动等，负责对学生进行安全教育。</w:t>
      </w:r>
    </w:p>
    <w:p>
      <w:pPr>
        <w:adjustRightInd w:val="0"/>
        <w:snapToGrid w:val="0"/>
        <w:spacing w:line="560" w:lineRule="exact"/>
        <w:ind w:firstLine="636" w:firstLineChars="198"/>
        <w:jc w:val="left"/>
        <w:rPr>
          <w:rFonts w:hint="eastAsia" w:ascii="仿宋_GB2312" w:hAnsi="仿宋" w:eastAsia="仿宋_GB2312" w:cs="仿宋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 xml:space="preserve">第七条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各单位组织学生赴国（境）外参加校际交流、专业实习或其它实践教学活动的学籍管理及学分认定按照《中山大学南方学院学生出国（境）交流学习暂行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规定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》执行。</w:t>
      </w:r>
    </w:p>
    <w:p>
      <w:pPr>
        <w:adjustRightInd w:val="0"/>
        <w:snapToGrid w:val="0"/>
        <w:spacing w:line="560" w:lineRule="exact"/>
        <w:ind w:firstLine="636" w:firstLineChars="198"/>
        <w:jc w:val="left"/>
        <w:rPr>
          <w:rFonts w:hint="eastAsia" w:ascii="仿宋_GB2312" w:hAnsi="仿宋" w:eastAsia="仿宋_GB2312" w:cs="仿宋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第八条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各单位组织我校学生赴国（境）外参加校际交流、专业实习或其它实践教学活动，除立项申请外，还需组织学生签订协议，并按《中山大学南方学院国际合作与交流事务管理工作指引》，将具体日程和活动内容、参与人员、组织方案等电子资料报送国际合作与交流部及学生工作部备案。该项工作须在出行前一个月内完成。</w:t>
      </w:r>
    </w:p>
    <w:p>
      <w:pPr>
        <w:adjustRightInd w:val="0"/>
        <w:snapToGrid w:val="0"/>
        <w:spacing w:line="560" w:lineRule="exact"/>
        <w:ind w:firstLine="636" w:firstLineChars="198"/>
        <w:jc w:val="left"/>
        <w:rPr>
          <w:rFonts w:hint="eastAsia" w:ascii="仿宋_GB2312" w:hAnsi="仿宋" w:eastAsia="仿宋_GB2312" w:cs="仿宋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第九条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各单位的项目使用学校公共资源，对于面向统招生的涉及学历教育的国际合作项目，学校在扣除学费（参考同专业非国际合作项目的学费平均定价）后，学校提留增收部分的10%作为学校国际合作与交流发展专项资金，剩余部分划拨到承办单位。承办单位负担市场拓展、教师薪酬、教学管理等成本, 实行专项核算,自负盈亏,具体财务核算由财务部负责实施。为鼓励和支持各单位积极开展国际交流与合作，上述项目实施的前两年学校暂不提留国际合作与交流发展专项资金。对于面向统招生的不涉及学历教育的交换、访学、游学等项目，学校原则上不提留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对于非统招生的国际合作项目，学校提留学费收入的10%作为学校国际合作与交流发展专项资金,剩余部分划拨到承办单位。承办单位负担市场拓展、教师薪酬、教学管理等成本, 实行专项核算,自负盈亏,具体财务核算由财务部负责实施。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第十条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各单位项目日常管理，由各单位指定外事对接人负责。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国际合作与交流部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负责指导和评价外事对接人工作情况，并协助提供协议范本、外事培训、项目宣传等。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 xml:space="preserve">第十一条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各单位各合作项目应于每年12月底前向学校提交年度报告。内容包括但不限于：招生规模、项目收益、经费结余情况、具体办学成果等。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15" w:firstLineChars="98"/>
        <w:jc w:val="center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b/>
          <w:color w:val="auto"/>
          <w:sz w:val="32"/>
          <w:szCs w:val="32"/>
        </w:rPr>
        <w:t>第三章 附则</w:t>
      </w:r>
    </w:p>
    <w:p>
      <w:pPr>
        <w:adjustRightInd w:val="0"/>
        <w:snapToGrid w:val="0"/>
        <w:spacing w:line="560" w:lineRule="exact"/>
        <w:ind w:firstLine="636" w:firstLineChars="198"/>
        <w:jc w:val="left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第十二条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本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规定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自公布之日起施行。</w:t>
      </w:r>
      <w:r>
        <w:rPr>
          <w:rFonts w:hint="eastAsia" w:ascii="仿宋_GB2312" w:hAnsi="仿宋" w:eastAsia="仿宋_GB2312" w:cs="仿宋"/>
          <w:bCs/>
          <w:color w:val="auto"/>
          <w:kern w:val="0"/>
          <w:sz w:val="32"/>
          <w:szCs w:val="32"/>
        </w:rPr>
        <w:t>学校此前发布的有关文件规定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与本规定不一致的,以本规定为准。</w:t>
      </w:r>
    </w:p>
    <w:p>
      <w:pPr>
        <w:adjustRightInd w:val="0"/>
        <w:snapToGrid w:val="0"/>
        <w:spacing w:line="560" w:lineRule="exact"/>
        <w:ind w:firstLine="636" w:firstLineChars="198"/>
        <w:jc w:val="left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第十三条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本规定由国际合作与交流部负责解释和修订。</w:t>
      </w:r>
    </w:p>
    <w:p>
      <w:pPr>
        <w:adjustRightInd w:val="0"/>
        <w:snapToGrid w:val="0"/>
        <w:spacing w:line="560" w:lineRule="exact"/>
        <w:ind w:firstLine="633" w:firstLineChars="198"/>
        <w:jc w:val="left"/>
        <w:rPr>
          <w:rFonts w:ascii="仿宋_GB2312" w:hAnsi="仿宋" w:eastAsia="仿宋_GB2312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5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C22DF"/>
    <w:rsid w:val="00000335"/>
    <w:rsid w:val="00081A73"/>
    <w:rsid w:val="00094DFD"/>
    <w:rsid w:val="000A0E97"/>
    <w:rsid w:val="000D4D72"/>
    <w:rsid w:val="000F5DD0"/>
    <w:rsid w:val="00126125"/>
    <w:rsid w:val="001C2409"/>
    <w:rsid w:val="001D0B67"/>
    <w:rsid w:val="0021363A"/>
    <w:rsid w:val="00227D2A"/>
    <w:rsid w:val="00237359"/>
    <w:rsid w:val="00253342"/>
    <w:rsid w:val="003373C5"/>
    <w:rsid w:val="003666A6"/>
    <w:rsid w:val="003C0240"/>
    <w:rsid w:val="00423549"/>
    <w:rsid w:val="004577CD"/>
    <w:rsid w:val="00463A97"/>
    <w:rsid w:val="004C187B"/>
    <w:rsid w:val="00546FDF"/>
    <w:rsid w:val="005E16CE"/>
    <w:rsid w:val="006376E9"/>
    <w:rsid w:val="006704AB"/>
    <w:rsid w:val="00692507"/>
    <w:rsid w:val="0069448F"/>
    <w:rsid w:val="006E13F4"/>
    <w:rsid w:val="006F5D89"/>
    <w:rsid w:val="00722B2F"/>
    <w:rsid w:val="00727007"/>
    <w:rsid w:val="00727237"/>
    <w:rsid w:val="007272C2"/>
    <w:rsid w:val="00744D95"/>
    <w:rsid w:val="00750693"/>
    <w:rsid w:val="0079131F"/>
    <w:rsid w:val="0079762E"/>
    <w:rsid w:val="007B2A56"/>
    <w:rsid w:val="007B6CA0"/>
    <w:rsid w:val="0083269F"/>
    <w:rsid w:val="0083726E"/>
    <w:rsid w:val="00860698"/>
    <w:rsid w:val="00897993"/>
    <w:rsid w:val="008B0C64"/>
    <w:rsid w:val="00907E1B"/>
    <w:rsid w:val="00925FAF"/>
    <w:rsid w:val="009375BE"/>
    <w:rsid w:val="009853F8"/>
    <w:rsid w:val="009C570A"/>
    <w:rsid w:val="009F7C87"/>
    <w:rsid w:val="00A172E9"/>
    <w:rsid w:val="00AA515A"/>
    <w:rsid w:val="00AE3FEF"/>
    <w:rsid w:val="00B04441"/>
    <w:rsid w:val="00B57A62"/>
    <w:rsid w:val="00B841C4"/>
    <w:rsid w:val="00B9684E"/>
    <w:rsid w:val="00BA73D5"/>
    <w:rsid w:val="00BF7C24"/>
    <w:rsid w:val="00C46E18"/>
    <w:rsid w:val="00C61DA5"/>
    <w:rsid w:val="00C70B24"/>
    <w:rsid w:val="00C76974"/>
    <w:rsid w:val="00CE470B"/>
    <w:rsid w:val="00CF5A97"/>
    <w:rsid w:val="00D75FFF"/>
    <w:rsid w:val="00DB5DF2"/>
    <w:rsid w:val="00DC133F"/>
    <w:rsid w:val="00DD4C46"/>
    <w:rsid w:val="00DE289D"/>
    <w:rsid w:val="00DF081C"/>
    <w:rsid w:val="00E14F52"/>
    <w:rsid w:val="00E7313A"/>
    <w:rsid w:val="00EB4304"/>
    <w:rsid w:val="00EB6472"/>
    <w:rsid w:val="00EC6B05"/>
    <w:rsid w:val="00F520E0"/>
    <w:rsid w:val="00F60F98"/>
    <w:rsid w:val="00F7690C"/>
    <w:rsid w:val="00FC26CB"/>
    <w:rsid w:val="00FD0B34"/>
    <w:rsid w:val="00FD5483"/>
    <w:rsid w:val="01B8364A"/>
    <w:rsid w:val="03751BED"/>
    <w:rsid w:val="070560CB"/>
    <w:rsid w:val="0C5D2E8D"/>
    <w:rsid w:val="0E4D3332"/>
    <w:rsid w:val="0F341854"/>
    <w:rsid w:val="14D23544"/>
    <w:rsid w:val="186459B1"/>
    <w:rsid w:val="198C22DF"/>
    <w:rsid w:val="1A951092"/>
    <w:rsid w:val="1AB9033C"/>
    <w:rsid w:val="1D77121F"/>
    <w:rsid w:val="1DAD0ABD"/>
    <w:rsid w:val="1E342547"/>
    <w:rsid w:val="2144061E"/>
    <w:rsid w:val="228A1703"/>
    <w:rsid w:val="25B71ED1"/>
    <w:rsid w:val="25C54403"/>
    <w:rsid w:val="281539FF"/>
    <w:rsid w:val="2EED5F67"/>
    <w:rsid w:val="2F14184F"/>
    <w:rsid w:val="2F9068ED"/>
    <w:rsid w:val="32EC12C8"/>
    <w:rsid w:val="359C090D"/>
    <w:rsid w:val="35E14DAF"/>
    <w:rsid w:val="39D70C7E"/>
    <w:rsid w:val="3B1610DF"/>
    <w:rsid w:val="3C395A00"/>
    <w:rsid w:val="3DB02280"/>
    <w:rsid w:val="40680D01"/>
    <w:rsid w:val="41F8199B"/>
    <w:rsid w:val="426270FB"/>
    <w:rsid w:val="42E90945"/>
    <w:rsid w:val="44CB3515"/>
    <w:rsid w:val="457B3300"/>
    <w:rsid w:val="457C4782"/>
    <w:rsid w:val="465C75DE"/>
    <w:rsid w:val="46BC2A8B"/>
    <w:rsid w:val="48262018"/>
    <w:rsid w:val="4CFE6B2E"/>
    <w:rsid w:val="4DC867DB"/>
    <w:rsid w:val="54901ED8"/>
    <w:rsid w:val="55FD258D"/>
    <w:rsid w:val="56F12181"/>
    <w:rsid w:val="59F21487"/>
    <w:rsid w:val="5D8C5ECD"/>
    <w:rsid w:val="5E476463"/>
    <w:rsid w:val="5E692B6B"/>
    <w:rsid w:val="600F7658"/>
    <w:rsid w:val="62AF6A51"/>
    <w:rsid w:val="64730D9E"/>
    <w:rsid w:val="64D31E24"/>
    <w:rsid w:val="65ED73EF"/>
    <w:rsid w:val="691615EB"/>
    <w:rsid w:val="69BF2159"/>
    <w:rsid w:val="6A5D6600"/>
    <w:rsid w:val="72422E68"/>
    <w:rsid w:val="75926433"/>
    <w:rsid w:val="766B6F47"/>
    <w:rsid w:val="786F1464"/>
    <w:rsid w:val="794A7B30"/>
    <w:rsid w:val="7A603229"/>
    <w:rsid w:val="7BFB2CA5"/>
    <w:rsid w:val="7C1D2650"/>
    <w:rsid w:val="7C2C174B"/>
    <w:rsid w:val="7C5042BF"/>
    <w:rsid w:val="7DF146FF"/>
    <w:rsid w:val="7F434C99"/>
    <w:rsid w:val="7F5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nhideWhenUsed="0" w:uiPriority="0" w:semiHidden="0" w:name="List Bullet 2"/>
    <w:lsdException w:uiPriority="0" w:name="List Bullet 3"/>
    <w:lsdException w:uiPriority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qFormat/>
    <w:uiPriority w:val="0"/>
    <w:rPr>
      <w:b/>
      <w:bCs/>
    </w:r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alloon Text"/>
    <w:basedOn w:val="1"/>
    <w:link w:val="17"/>
    <w:qFormat/>
    <w:uiPriority w:val="0"/>
    <w:rPr>
      <w:rFonts w:ascii="Heiti SC Light" w:eastAsia="Heiti SC Light"/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8"/>
    <w:link w:val="5"/>
    <w:qFormat/>
    <w:uiPriority w:val="0"/>
    <w:rPr>
      <w:rFonts w:ascii="Heiti SC Light" w:eastAsia="Heiti SC Light" w:hAnsiTheme="minorHAnsi" w:cstheme="minorBidi"/>
      <w:kern w:val="2"/>
      <w:sz w:val="18"/>
      <w:szCs w:val="18"/>
    </w:rPr>
  </w:style>
  <w:style w:type="character" w:customStyle="1" w:styleId="18">
    <w:name w:val="批注文字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292</Words>
  <Characters>1665</Characters>
  <Lines>13</Lines>
  <Paragraphs>3</Paragraphs>
  <TotalTime>388</TotalTime>
  <ScaleCrop>false</ScaleCrop>
  <LinksUpToDate>false</LinksUpToDate>
  <CharactersWithSpaces>1954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2016-11-29T08:02:00Z</dcterms:created>
  <dc:creator>Administrator</dc:creator>
  <cp:lastModifiedBy>Sara</cp:lastModifiedBy>
  <cp:lastPrinted>2018-11-08T01:20:00Z</cp:lastPrinted>
  <dcterms:modified xsi:type="dcterms:W3CDTF">2018-11-30T07:49:41Z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